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EE1" w:rsidRPr="00BB5EE1" w:rsidRDefault="00BB5EE1" w:rsidP="00BB5EE1">
      <w:pPr>
        <w:spacing w:after="0" w:line="240" w:lineRule="auto"/>
        <w:rPr>
          <w:rFonts w:asciiTheme="majorHAnsi" w:eastAsiaTheme="majorEastAsia" w:hAnsi="GE Inspira Pitch" w:cstheme="majorBidi"/>
          <w:color w:val="000000" w:themeColor="text1"/>
          <w:kern w:val="24"/>
          <w:position w:val="1"/>
          <w:sz w:val="44"/>
          <w:szCs w:val="64"/>
        </w:rPr>
      </w:pPr>
      <w:r w:rsidRPr="00BB5EE1">
        <w:rPr>
          <w:rFonts w:asciiTheme="majorHAnsi" w:eastAsiaTheme="majorEastAsia" w:hAnsi="GE Inspira Pitch" w:cstheme="majorBidi"/>
          <w:color w:val="000000" w:themeColor="text1"/>
          <w:kern w:val="24"/>
          <w:position w:val="1"/>
          <w:sz w:val="44"/>
          <w:szCs w:val="64"/>
        </w:rPr>
        <w:t>Paragraph</w:t>
      </w:r>
      <w:r>
        <w:rPr>
          <w:rFonts w:asciiTheme="majorHAnsi" w:eastAsiaTheme="majorEastAsia" w:hAnsi="GE Inspira Pitch" w:cstheme="majorBidi"/>
          <w:color w:val="000000" w:themeColor="text1"/>
          <w:kern w:val="24"/>
          <w:position w:val="1"/>
          <w:sz w:val="44"/>
          <w:szCs w:val="64"/>
        </w:rPr>
        <w:t xml:space="preserve"> </w:t>
      </w:r>
      <w:proofErr w:type="gramStart"/>
      <w:r w:rsidRPr="00BB5EE1">
        <w:rPr>
          <w:rFonts w:asciiTheme="majorHAnsi" w:eastAsiaTheme="majorEastAsia" w:hAnsi="GE Inspira Pitch" w:cstheme="majorBidi"/>
          <w:color w:val="000000" w:themeColor="text1"/>
          <w:kern w:val="24"/>
          <w:position w:val="1"/>
          <w:sz w:val="44"/>
          <w:szCs w:val="64"/>
          <w:lang w:val="x-none"/>
        </w:rPr>
        <w:t>8.5  MRL</w:t>
      </w:r>
      <w:proofErr w:type="gramEnd"/>
      <w:r w:rsidRPr="00BB5EE1">
        <w:rPr>
          <w:rFonts w:asciiTheme="majorHAnsi" w:eastAsiaTheme="majorEastAsia" w:hAnsi="GE Inspira Pitch" w:cstheme="majorBidi"/>
          <w:color w:val="000000" w:themeColor="text1"/>
          <w:kern w:val="24"/>
          <w:position w:val="1"/>
          <w:sz w:val="44"/>
          <w:szCs w:val="64"/>
          <w:lang w:val="x-none"/>
        </w:rPr>
        <w:t xml:space="preserve"> Criteria </w:t>
      </w:r>
      <w:r w:rsidRPr="00BB5EE1">
        <w:rPr>
          <w:rFonts w:asciiTheme="majorHAnsi" w:eastAsiaTheme="majorEastAsia" w:hAnsi="GE Inspira Pitch" w:cstheme="majorBidi"/>
          <w:color w:val="000000" w:themeColor="text1"/>
          <w:kern w:val="24"/>
          <w:position w:val="1"/>
          <w:sz w:val="44"/>
          <w:szCs w:val="64"/>
        </w:rPr>
        <w:t>for</w:t>
      </w:r>
      <w:r w:rsidRPr="00BB5EE1">
        <w:rPr>
          <w:rFonts w:asciiTheme="majorHAnsi" w:eastAsiaTheme="majorEastAsia" w:hAnsi="GE Inspira Pitch" w:cstheme="majorBidi"/>
          <w:color w:val="000000" w:themeColor="text1"/>
          <w:kern w:val="24"/>
          <w:position w:val="1"/>
          <w:sz w:val="44"/>
          <w:szCs w:val="64"/>
          <w:lang w:val="x-none"/>
        </w:rPr>
        <w:t xml:space="preserve"> Industry</w:t>
      </w:r>
    </w:p>
    <w:p w:rsidR="00BB5EE1" w:rsidRDefault="00BB5EE1" w:rsidP="00BB5EE1">
      <w:pPr>
        <w:spacing w:after="0" w:line="240" w:lineRule="auto"/>
        <w:rPr>
          <w:rFonts w:eastAsiaTheme="minorEastAsia" w:hAnsi="GE Inspira Pitch"/>
          <w:color w:val="000000" w:themeColor="text1"/>
          <w:kern w:val="24"/>
          <w:sz w:val="28"/>
          <w:szCs w:val="28"/>
        </w:rPr>
      </w:pPr>
    </w:p>
    <w:p w:rsidR="00BB5EE1" w:rsidRPr="00BB5EE1" w:rsidRDefault="00BB5EE1" w:rsidP="00BB5EE1">
      <w:pPr>
        <w:spacing w:after="0" w:line="240" w:lineRule="auto"/>
        <w:rPr>
          <w:rFonts w:ascii="Times New Roman" w:eastAsia="Times New Roman" w:hAnsi="Times New Roman" w:cs="Times New Roman"/>
          <w:sz w:val="24"/>
          <w:szCs w:val="24"/>
        </w:rPr>
      </w:pPr>
      <w:r w:rsidRPr="00BB5EE1">
        <w:rPr>
          <w:rFonts w:eastAsiaTheme="minorEastAsia" w:hAnsi="GE Inspira Pitch"/>
          <w:color w:val="000000" w:themeColor="text1"/>
          <w:kern w:val="24"/>
          <w:sz w:val="28"/>
          <w:szCs w:val="28"/>
          <w:lang w:val="x-none"/>
        </w:rPr>
        <w:t>Industry can leverage and adapt the DoD MRL criteria to their company processes.  The criteria translate easily across both military and commercial application</w:t>
      </w:r>
      <w:r w:rsidRPr="00BB5EE1">
        <w:rPr>
          <w:rFonts w:eastAsiaTheme="minorEastAsia" w:hAnsi="GE Inspira Pitch"/>
          <w:color w:val="000000" w:themeColor="text1"/>
          <w:kern w:val="24"/>
          <w:sz w:val="28"/>
          <w:szCs w:val="28"/>
        </w:rPr>
        <w:t>.</w:t>
      </w:r>
    </w:p>
    <w:p w:rsidR="00BB5EE1" w:rsidRPr="00BB5EE1" w:rsidRDefault="00BB5EE1" w:rsidP="00BB5EE1">
      <w:pPr>
        <w:spacing w:before="120" w:after="0" w:line="240" w:lineRule="auto"/>
        <w:rPr>
          <w:rFonts w:ascii="Times New Roman" w:eastAsia="Times New Roman" w:hAnsi="Times New Roman" w:cs="Times New Roman"/>
          <w:sz w:val="24"/>
          <w:szCs w:val="24"/>
        </w:rPr>
      </w:pPr>
      <w:r w:rsidRPr="00BB5EE1">
        <w:rPr>
          <w:rFonts w:eastAsiaTheme="minorEastAsia" w:hAnsi="GE Inspira Pitch"/>
          <w:color w:val="000000" w:themeColor="text1"/>
          <w:kern w:val="24"/>
          <w:sz w:val="28"/>
          <w:szCs w:val="28"/>
          <w:lang w:val="x-none"/>
        </w:rPr>
        <w:t>A simple step to adapt the tool begins with embedding business vernacular into the criteria that improve the understanding and acceptance of the assessment process. For example, using company vocabulary instead of the DoD terms (e.g., business or engineering Gates instead of Milestones) as depicted in figure 8.4.</w:t>
      </w:r>
    </w:p>
    <w:p w:rsidR="00BB5EE1" w:rsidRDefault="00BB5EE1" w:rsidP="00BB5EE1">
      <w:pPr>
        <w:spacing w:before="240" w:after="0" w:line="240" w:lineRule="auto"/>
        <w:rPr>
          <w:rFonts w:eastAsiaTheme="minorEastAsia" w:hAnsi="GE Inspira Pitch"/>
          <w:color w:val="000000" w:themeColor="text1"/>
          <w:kern w:val="24"/>
          <w:sz w:val="28"/>
          <w:szCs w:val="28"/>
        </w:rPr>
      </w:pPr>
      <w:r>
        <w:rPr>
          <w:rFonts w:eastAsiaTheme="minorEastAsia" w:hAnsi="GE Inspira Pitch"/>
          <w:noProof/>
          <w:color w:val="000000" w:themeColor="text1"/>
          <w:kern w:val="24"/>
          <w:sz w:val="28"/>
          <w:szCs w:val="28"/>
        </w:rPr>
        <w:drawing>
          <wp:inline distT="0" distB="0" distL="0" distR="0" wp14:anchorId="5C2D6DBD">
            <wp:extent cx="5745480" cy="16268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48454" cy="1627688"/>
                    </a:xfrm>
                    <a:prstGeom prst="rect">
                      <a:avLst/>
                    </a:prstGeom>
                    <a:noFill/>
                  </pic:spPr>
                </pic:pic>
              </a:graphicData>
            </a:graphic>
          </wp:inline>
        </w:drawing>
      </w:r>
    </w:p>
    <w:p w:rsidR="00BB5EE1" w:rsidRPr="00BB5EE1" w:rsidRDefault="00BB5EE1" w:rsidP="00BB5EE1">
      <w:pPr>
        <w:spacing w:before="240" w:after="0" w:line="240" w:lineRule="auto"/>
        <w:rPr>
          <w:rFonts w:ascii="Times New Roman" w:eastAsia="Times New Roman" w:hAnsi="Times New Roman" w:cs="Times New Roman"/>
          <w:sz w:val="24"/>
          <w:szCs w:val="24"/>
        </w:rPr>
      </w:pPr>
      <w:r w:rsidRPr="00BB5EE1">
        <w:rPr>
          <w:rFonts w:eastAsiaTheme="minorEastAsia" w:hAnsi="GE Inspira Pitch"/>
          <w:color w:val="000000" w:themeColor="text1"/>
          <w:kern w:val="24"/>
          <w:sz w:val="28"/>
          <w:szCs w:val="28"/>
        </w:rPr>
        <w:t xml:space="preserve">Figure 8.4 </w:t>
      </w:r>
      <w:r w:rsidRPr="00BB5EE1">
        <w:rPr>
          <w:rFonts w:eastAsiaTheme="minorEastAsia" w:hAnsi="GE Inspira Pitch"/>
          <w:color w:val="000000" w:themeColor="text1"/>
          <w:kern w:val="24"/>
          <w:sz w:val="28"/>
          <w:szCs w:val="28"/>
        </w:rPr>
        <w:t>–</w:t>
      </w:r>
      <w:r w:rsidRPr="00BB5EE1">
        <w:rPr>
          <w:rFonts w:eastAsiaTheme="minorEastAsia" w:hAnsi="GE Inspira Pitch"/>
          <w:color w:val="000000" w:themeColor="text1"/>
          <w:kern w:val="24"/>
          <w:sz w:val="28"/>
          <w:szCs w:val="28"/>
        </w:rPr>
        <w:t xml:space="preserve"> Gated Product Development</w:t>
      </w:r>
    </w:p>
    <w:p w:rsidR="00BB5EE1" w:rsidRPr="00BB5EE1" w:rsidRDefault="00BB5EE1" w:rsidP="00BB5EE1">
      <w:pPr>
        <w:spacing w:before="240" w:after="0" w:line="240" w:lineRule="auto"/>
        <w:rPr>
          <w:rFonts w:ascii="Times New Roman" w:eastAsia="Times New Roman" w:hAnsi="Times New Roman" w:cs="Times New Roman"/>
          <w:sz w:val="24"/>
          <w:szCs w:val="24"/>
        </w:rPr>
      </w:pPr>
      <w:r w:rsidRPr="00BB5EE1">
        <w:rPr>
          <w:rFonts w:eastAsiaTheme="minorEastAsia" w:hAnsi="GE Inspira Pitch"/>
          <w:color w:val="000000" w:themeColor="text1"/>
          <w:kern w:val="24"/>
          <w:sz w:val="28"/>
          <w:szCs w:val="28"/>
          <w:lang w:val="x-none"/>
        </w:rPr>
        <w:t xml:space="preserve">To aid in building the manufacturing maturation plan, a company may create a roadmap to follow into the future, emphasizing value added processes instead of identifying what actions were not completed.  </w:t>
      </w:r>
    </w:p>
    <w:p w:rsidR="00BB5EE1" w:rsidRPr="00BB5EE1" w:rsidRDefault="00BB5EE1" w:rsidP="00BB5EE1">
      <w:pPr>
        <w:spacing w:before="120" w:after="0" w:line="240" w:lineRule="auto"/>
        <w:rPr>
          <w:rFonts w:ascii="Times New Roman" w:eastAsia="Times New Roman" w:hAnsi="Times New Roman" w:cs="Times New Roman"/>
          <w:sz w:val="24"/>
          <w:szCs w:val="24"/>
        </w:rPr>
      </w:pPr>
      <w:r w:rsidRPr="00BB5EE1">
        <w:rPr>
          <w:rFonts w:eastAsiaTheme="minorEastAsia" w:hAnsi="GE Inspira Pitch"/>
          <w:color w:val="000000" w:themeColor="text1"/>
          <w:kern w:val="24"/>
          <w:sz w:val="28"/>
          <w:szCs w:val="28"/>
          <w:lang w:val="x-none"/>
        </w:rPr>
        <w:t>A company can embed the complete MRL criteria and assessment process into one spreadsheet or management dashboard.   As results are presented and team buy-in increases, improvements are seen by increased productivity. Standardized report out presentation or standardized dashboard formats across the business aids in better upper level management buy-in.  When a business assumes ownership of the MRL criteria, it can be concise an</w:t>
      </w:r>
      <w:bookmarkStart w:id="0" w:name="_GoBack"/>
      <w:bookmarkEnd w:id="0"/>
      <w:r w:rsidRPr="00BB5EE1">
        <w:rPr>
          <w:rFonts w:eastAsiaTheme="minorEastAsia" w:hAnsi="GE Inspira Pitch"/>
          <w:color w:val="000000" w:themeColor="text1"/>
          <w:kern w:val="24"/>
          <w:sz w:val="28"/>
          <w:szCs w:val="28"/>
          <w:lang w:val="x-none"/>
        </w:rPr>
        <w:t xml:space="preserve">d controllable allowing for quick resolution of interpretation problems.  Ownership also allows lessons learned to be added to the MRL criteria. For example, including an Environmental Health and Service thread, insures that EHS issues are addressed early in the maturation process.  </w:t>
      </w:r>
    </w:p>
    <w:p w:rsidR="00B82FB1" w:rsidRDefault="00BB5EE1" w:rsidP="00BB5EE1">
      <w:r w:rsidRPr="00BB5EE1">
        <w:rPr>
          <w:rFonts w:eastAsiaTheme="minorEastAsia" w:hAnsi="GE Inspira Pitch"/>
          <w:color w:val="000000" w:themeColor="text1"/>
          <w:kern w:val="24"/>
          <w:sz w:val="28"/>
          <w:szCs w:val="28"/>
          <w:lang w:val="x-none"/>
        </w:rPr>
        <w:t xml:space="preserve">Manufacturing assessments using MRL criteria should be </w:t>
      </w:r>
      <w:r w:rsidRPr="00BB5EE1">
        <w:rPr>
          <w:rFonts w:eastAsiaTheme="minorEastAsia" w:hAnsi="GE Inspira Pitch"/>
          <w:color w:val="000000" w:themeColor="text1"/>
          <w:kern w:val="24"/>
          <w:sz w:val="28"/>
          <w:szCs w:val="28"/>
        </w:rPr>
        <w:t xml:space="preserve">adapted as an integral required element </w:t>
      </w:r>
      <w:r w:rsidRPr="00BB5EE1">
        <w:rPr>
          <w:rFonts w:eastAsiaTheme="minorEastAsia" w:hAnsi="GE Inspira Pitch"/>
          <w:color w:val="000000" w:themeColor="text1"/>
          <w:kern w:val="24"/>
          <w:sz w:val="28"/>
          <w:szCs w:val="28"/>
          <w:lang w:val="x-none"/>
        </w:rPr>
        <w:t>of a company</w:t>
      </w:r>
      <w:r w:rsidRPr="00BB5EE1">
        <w:rPr>
          <w:rFonts w:eastAsiaTheme="minorEastAsia" w:hAnsi="GE Inspira Pitch"/>
          <w:color w:val="000000" w:themeColor="text1"/>
          <w:kern w:val="24"/>
          <w:sz w:val="28"/>
          <w:szCs w:val="28"/>
          <w:lang w:val="x-none"/>
        </w:rPr>
        <w:t>’</w:t>
      </w:r>
      <w:r w:rsidRPr="00BB5EE1">
        <w:rPr>
          <w:rFonts w:eastAsiaTheme="minorEastAsia" w:hAnsi="GE Inspira Pitch"/>
          <w:color w:val="000000" w:themeColor="text1"/>
          <w:kern w:val="24"/>
          <w:sz w:val="28"/>
          <w:szCs w:val="28"/>
          <w:lang w:val="x-none"/>
        </w:rPr>
        <w:t xml:space="preserve">s new product introduction process. </w:t>
      </w:r>
      <w:r w:rsidRPr="00BB5EE1">
        <w:rPr>
          <w:rFonts w:eastAsiaTheme="minorEastAsia" w:hAnsi="GE Inspira Pitch"/>
          <w:color w:val="000000" w:themeColor="text1"/>
          <w:kern w:val="24"/>
          <w:sz w:val="28"/>
          <w:szCs w:val="28"/>
        </w:rPr>
        <w:t xml:space="preserve">Similar to implementation of ISO 9000/9001 and AS6500, implementation of manufacturing assessments </w:t>
      </w:r>
      <w:r w:rsidRPr="00BB5EE1">
        <w:rPr>
          <w:rFonts w:eastAsiaTheme="minorEastAsia" w:hAnsi="GE Inspira Pitch"/>
          <w:color w:val="000000" w:themeColor="text1"/>
          <w:kern w:val="24"/>
          <w:sz w:val="28"/>
          <w:szCs w:val="28"/>
          <w:lang w:val="x-none"/>
        </w:rPr>
        <w:t xml:space="preserve">using the MRL criteria to manage risk will improve company </w:t>
      </w:r>
      <w:r w:rsidRPr="00BB5EE1">
        <w:rPr>
          <w:rFonts w:eastAsiaTheme="minorEastAsia" w:hAnsi="GE Inspira Pitch"/>
          <w:color w:val="000000" w:themeColor="text1"/>
          <w:kern w:val="24"/>
          <w:sz w:val="28"/>
          <w:szCs w:val="28"/>
          <w:lang w:val="x-none"/>
        </w:rPr>
        <w:lastRenderedPageBreak/>
        <w:t>operations leading to improved quality, reduced cycle times, reduced costs, and positively impact overall</w:t>
      </w:r>
    </w:p>
    <w:sectPr w:rsidR="00B82F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 Inspira Pitch">
    <w:panose1 w:val="020F0603030400020203"/>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EE1"/>
    <w:rsid w:val="00B82FB1"/>
    <w:rsid w:val="00BB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E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5EE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5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E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8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1884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 User</dc:creator>
  <cp:lastModifiedBy>GE User</cp:lastModifiedBy>
  <cp:revision>1</cp:revision>
  <dcterms:created xsi:type="dcterms:W3CDTF">2016-04-19T17:06:00Z</dcterms:created>
  <dcterms:modified xsi:type="dcterms:W3CDTF">2016-04-19T17:10:00Z</dcterms:modified>
</cp:coreProperties>
</file>